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哈尔滨商业大学2024年</w:t>
      </w:r>
      <w:r>
        <w:rPr>
          <w:rFonts w:hint="eastAsia" w:eastAsia="黑体"/>
          <w:b/>
          <w:sz w:val="44"/>
          <w:szCs w:val="44"/>
        </w:rPr>
        <w:t>硕士研究生入学考试指南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default" w:ascii="宋体" w:hAnsi="宋体"/>
          <w:b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</w:rPr>
        <w:t>考试科目名称：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国际商务基础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考试科目代码：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434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考试要求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要求考生全面系统地掌握国际贸易理论与政策、国际直接投资与跨国公司、国际金融、国际商务环境与运行等内容的相关基本概念、基本理论和基础知识，并具有综合运用分析和解决国际商务现实问题的能力。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二、考试内容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第一章  导论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国际商务概述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一、国际商务含义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二、国际商务类型与特征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经济全球化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一、经济全球化特征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二、经济全球化快速发展原因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三、经济全球化影响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第一部分 国际贸易理论与政策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第二章  国际贸易理论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第一节  古典国际贸易理论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一、绝对优势理论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二、比较优势理论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新古典国际贸易理论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一、相互需求理论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二、赫克歇尔-俄林理论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新国际贸易理论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一、产业内贸易理论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二、需求偏好相似理论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三、规模经济理论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四、技术差距理论与产品生命周期理论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  国际贸易保护理论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一、幼稚工业理论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二、国际贸易乘数理论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三、战略性贸易政策理论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第三章  国际贸易政策工具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关税政策工具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一、关税含义与特征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二、关税基本类型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非关税政策工具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一、非关税壁垒概念与特点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二、非关税壁垒基本类型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三、WTO规则下的相机保护措施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四、鼓励出口的贸易政策措施与出口管制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第二部分  国际直接投资与跨国公司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第四章  国际直接投资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国际直接投资概述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一、国际直接投资概念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二、国际直接投资特点和趋势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国际直接投资理论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一、垄断优势理论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二、区位优势理论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三、内部化理论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四、国际生产折中理论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五、边际产品扩张理论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第五章  跨国公司战略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跨国公司的经营战略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一、跨国公司战略选择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二、跨国公司市场战略类型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三、跨国公司进入目标市场的方式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跨国公司的战略联盟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一、跨国公司战略联盟含义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二、跨国公司战略联盟主要形式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三、跨国公司建立有效的战略联盟的步骤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跨国公司的并购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一、跨国并购概述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二、绿地投资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  跨国公司的战略竞争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一、成本领先战略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二、差异化战略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三、聚焦战略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第三部分  国际金融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第六章  国际金融市场与国际货币体系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国际金融市场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一、国际金融市场含义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二、离岸金融市场与传统国际金融市场的主要区别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三、国际金融市场形成条件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四、国际金融市场作用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国际货币体系概述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一、国际货币体系概念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二、国际货币体系主要内容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国际金本位制度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一、金币本位制主要内容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二、金币本位制特点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  布雷顿森林体系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一、布雷顿森林体系主要内容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二、雷顿森林体系的作用及局限性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第七章  外汇与汇率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外汇与汇率基本概念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一、外汇的基本性质与特点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二、汇率的标价方法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汇率理论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一、铸币平价理论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二、国际借贷理论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三、购买力平价理论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四、汇兑心理理论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影响汇率变化的因素及汇率变动对经济的影响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一、影响汇率变化因素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二、汇率变动对经济影响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第八章  国际收支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国际收支平衡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一、国际收支失衡含义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二、国际收支失衡类型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国际收支调节理论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一、弹性法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二、吸收法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三、货币法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第四部分  国际企业运营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第九章  国际市场营销</w:t>
      </w: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国际市场营销概述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一、国际市场营销含义与特点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二、国际市场营销任务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三、企业开展国际市场营销面临的机遇与挑战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国际市场细分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一、国际市场细分概念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二、国际市场细分步骤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国际目标市场选择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一、国际目标市场选择标准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二、选择国际目标市场战略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三、企业在选择国际目标市场战略时应考虑的因素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第十章  国际供应链管理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供应链概念与分类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供应链管理及运作机制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第十一章  国际税收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国际税收概念与税收管辖权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国际重复征税及其解决办法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题型及比例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1.名词解释题（本大题共5小题，每小题6分，共30分）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2.简答题（本大题共6小题，每小题10分，共60分）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3.论述题（本大题共3小题，每小题20分，共60分）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四、参考书目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韩玉军编著：《国际商务》（第三版），中国人民</w:t>
      </w:r>
      <w:bookmarkStart w:id="0" w:name="_GoBack"/>
      <w:bookmarkEnd w:id="0"/>
      <w:r>
        <w:rPr>
          <w:rFonts w:hint="eastAsia"/>
          <w:lang w:val="en-US" w:eastAsia="zh-CN"/>
        </w:rPr>
        <w:t>大学出版社2020年9月</w:t>
      </w:r>
    </w:p>
    <w:sectPr>
      <w:pgSz w:w="11906" w:h="16838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NjlkZTMxZTdiMWIxMDhhMzM3OTI3NjBjNTZhZWEifQ=="/>
  </w:docVars>
  <w:rsids>
    <w:rsidRoot w:val="008043EA"/>
    <w:rsid w:val="000437B8"/>
    <w:rsid w:val="00084CF1"/>
    <w:rsid w:val="00085BB8"/>
    <w:rsid w:val="00092F03"/>
    <w:rsid w:val="000C7E23"/>
    <w:rsid w:val="000E5B7B"/>
    <w:rsid w:val="00137935"/>
    <w:rsid w:val="00140FD8"/>
    <w:rsid w:val="001737E2"/>
    <w:rsid w:val="0018738B"/>
    <w:rsid w:val="001A77DA"/>
    <w:rsid w:val="001B5CF5"/>
    <w:rsid w:val="002140EE"/>
    <w:rsid w:val="00227684"/>
    <w:rsid w:val="002A0160"/>
    <w:rsid w:val="002B00C3"/>
    <w:rsid w:val="003205A2"/>
    <w:rsid w:val="00341790"/>
    <w:rsid w:val="003F3239"/>
    <w:rsid w:val="00427763"/>
    <w:rsid w:val="004548A0"/>
    <w:rsid w:val="00491348"/>
    <w:rsid w:val="0049546A"/>
    <w:rsid w:val="005030CF"/>
    <w:rsid w:val="0054566C"/>
    <w:rsid w:val="00563AB0"/>
    <w:rsid w:val="00563CE0"/>
    <w:rsid w:val="005642A7"/>
    <w:rsid w:val="005B59D2"/>
    <w:rsid w:val="005D2ABC"/>
    <w:rsid w:val="005D39DC"/>
    <w:rsid w:val="006015E5"/>
    <w:rsid w:val="00653C17"/>
    <w:rsid w:val="00697C1C"/>
    <w:rsid w:val="006A1895"/>
    <w:rsid w:val="006A421B"/>
    <w:rsid w:val="006C7AC8"/>
    <w:rsid w:val="00703558"/>
    <w:rsid w:val="0070637F"/>
    <w:rsid w:val="00712726"/>
    <w:rsid w:val="00724B91"/>
    <w:rsid w:val="007516B0"/>
    <w:rsid w:val="007A69C7"/>
    <w:rsid w:val="007C7953"/>
    <w:rsid w:val="007E145F"/>
    <w:rsid w:val="007F1B77"/>
    <w:rsid w:val="008043EA"/>
    <w:rsid w:val="00824041"/>
    <w:rsid w:val="0085627B"/>
    <w:rsid w:val="00856ABE"/>
    <w:rsid w:val="009028B2"/>
    <w:rsid w:val="00937456"/>
    <w:rsid w:val="009A4B45"/>
    <w:rsid w:val="009D7667"/>
    <w:rsid w:val="00A43EA3"/>
    <w:rsid w:val="00A7333F"/>
    <w:rsid w:val="00AE7D22"/>
    <w:rsid w:val="00AF60B7"/>
    <w:rsid w:val="00B81373"/>
    <w:rsid w:val="00C3342A"/>
    <w:rsid w:val="00C41E26"/>
    <w:rsid w:val="00C779F7"/>
    <w:rsid w:val="00CC0744"/>
    <w:rsid w:val="00CE5F67"/>
    <w:rsid w:val="00D2605B"/>
    <w:rsid w:val="00DD2E0A"/>
    <w:rsid w:val="00DF0B42"/>
    <w:rsid w:val="00E3769C"/>
    <w:rsid w:val="00ED49C4"/>
    <w:rsid w:val="00F52FBF"/>
    <w:rsid w:val="055830D2"/>
    <w:rsid w:val="085F7B47"/>
    <w:rsid w:val="09472248"/>
    <w:rsid w:val="19410B0E"/>
    <w:rsid w:val="24285B83"/>
    <w:rsid w:val="342108C7"/>
    <w:rsid w:val="3CA0019D"/>
    <w:rsid w:val="4A707FD3"/>
    <w:rsid w:val="4B2F32E7"/>
    <w:rsid w:val="4D793356"/>
    <w:rsid w:val="57834034"/>
    <w:rsid w:val="626B3B72"/>
    <w:rsid w:val="6D4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0"/>
    </w:pPr>
    <w:rPr>
      <w:rFonts w:eastAsia="黑体"/>
      <w:b/>
      <w:kern w:val="44"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85</Words>
  <Characters>90</Characters>
  <Lines>1</Lines>
  <Paragraphs>1</Paragraphs>
  <TotalTime>0</TotalTime>
  <ScaleCrop>false</ScaleCrop>
  <LinksUpToDate>false</LinksUpToDate>
  <CharactersWithSpaces>102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2017-09-02T01:01:00Z</dcterms:created>
  <dc:creator>MC SYSTEM</dc:creator>
  <cp:lastModifiedBy>尹龙</cp:lastModifiedBy>
  <cp:lastPrinted>2007-12-17T04:14:00Z</cp:lastPrinted>
  <dcterms:modified xsi:type="dcterms:W3CDTF">2023-09-08T08:34:04Z</dcterms:modified>
  <dc:title>2008年硕士研究生入学考试大纲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2EB3B61F66D0467C828FCDA894E0370E_13</vt:lpwstr>
  </property>
</Properties>
</file>